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附件9</w:t>
      </w:r>
    </w:p>
    <w:p>
      <w:pPr>
        <w:pStyle w:val="2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综合评审评分标准</w:t>
      </w:r>
    </w:p>
    <w:bookmarkEnd w:id="0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76"/>
        <w:gridCol w:w="1284"/>
        <w:gridCol w:w="4364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序号</w:t>
            </w:r>
          </w:p>
        </w:tc>
        <w:tc>
          <w:tcPr>
            <w:tcW w:w="134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评审内容</w:t>
            </w: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评审指标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评审要点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eastAsia" w:ascii="仿宋" w:hAnsi="仿宋" w:eastAsia="仿宋" w:cs="仿宋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sz w:val="28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1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公共数据授权运营方案</w:t>
            </w: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应用场景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有具体应用场景，应用场景应描述详细、需求明确、用户明确，具有较强的可行性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的得10分，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2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数据产品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有针对应用场景需求的数据产品开发规划，应详细描述数据产品形态、输出数据形式、适用场景、交付形式、交付通道、授权方式、授权形式等内容，数据产品规划合理的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得10分，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highlight w:val="none"/>
              </w:rPr>
              <w:t>有数据产品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highlight w:val="none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highlight w:val="none"/>
              </w:rPr>
              <w:t>方案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，方案描述详细、合理、可行的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得10分，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3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数据产品运营推广模式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Style w:val="15"/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公共数据运营有明确计划和目标，目标清晰计划合理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的得4分，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公共数据运营的推广模式合理、可行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的得10分，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Style w:val="15"/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公共数据运营的商业盈利模式合理、可行的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得4分，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4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公共数据运营的预期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增值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说明公共数据授运营对应用场景发展、社会治理效能以及数字经济发展等方面所产生的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增值效果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，在1-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分范围内综合评分。</w:t>
            </w:r>
          </w:p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说明公共数据运营的预期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增值效果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增值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应合理、符合市场规律，根据预期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增值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进行综合评分，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最优的得6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1346" w:type="dxa"/>
            <w:vMerge w:val="restart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安全保障方案</w:t>
            </w: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安全保障制度建设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有完善的安全保障制度，重视安全培训工作，能够公共数据开发利用与安全管理责任到人，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最优的得8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9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网络安全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有完善的网络安全方案，有较强的可行性，能够保障公共数据开发利用环境安全，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最优的得8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7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数据安全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有完善的数据安全方案，确保不会擅自留存和泄露公共数据，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最优的得8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8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应急预案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有完善的应急预案，有应急演练计划，发生数据安全事件时能够采取相应的应急处置措施，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最优的得8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分，其余依次递减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分。最低得0分。未提供该项不得分。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9</w:t>
            </w:r>
          </w:p>
        </w:tc>
        <w:tc>
          <w:tcPr>
            <w:tcW w:w="1346" w:type="dxa"/>
            <w:vMerge w:val="continue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人员配备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根据供应商拟投入本项目的服务团队进行评审，从事本项目的专业技术团队组织架构合理，人员配备齐全，分工明确，经验丰富的得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分；组织架构合理，人员配备较齐全，分工较明确，得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分；组织架构较合理，人员配备及分工不够合理，得2分。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3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10</w:t>
            </w:r>
          </w:p>
        </w:tc>
        <w:tc>
          <w:tcPr>
            <w:tcW w:w="1346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综合实力</w:t>
            </w:r>
          </w:p>
        </w:tc>
        <w:tc>
          <w:tcPr>
            <w:tcW w:w="1354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业绩</w:t>
            </w:r>
          </w:p>
        </w:tc>
        <w:tc>
          <w:tcPr>
            <w:tcW w:w="4672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自202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年1月1日以来（以合同签订时间为准）实施过的类似业绩（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公共数据运营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每个得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分。</w:t>
            </w:r>
          </w:p>
          <w:p>
            <w:pPr>
              <w:pStyle w:val="9"/>
              <w:snapToGrid w:val="0"/>
              <w:spacing w:after="0" w:line="240" w:lineRule="auto"/>
              <w:ind w:left="0" w:leftChars="0" w:firstLine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以合同原件为准，复印件做入投标文件中。</w:t>
            </w:r>
          </w:p>
        </w:tc>
        <w:tc>
          <w:tcPr>
            <w:tcW w:w="917" w:type="dxa"/>
            <w:vAlign w:val="center"/>
          </w:tcPr>
          <w:p>
            <w:pPr>
              <w:pStyle w:val="9"/>
              <w:snapToGrid w:val="0"/>
              <w:spacing w:after="0" w:line="240" w:lineRule="auto"/>
              <w:ind w:left="0" w:leftChars="0" w:firstLine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2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27195933"/>
    <w:rsid w:val="397D1A60"/>
    <w:rsid w:val="44B609C8"/>
    <w:rsid w:val="45F261D2"/>
    <w:rsid w:val="4EF84E1A"/>
    <w:rsid w:val="50444DD5"/>
    <w:rsid w:val="5E2A018B"/>
    <w:rsid w:val="6E9D6087"/>
    <w:rsid w:val="771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/>
    </w:p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B22163F92E0B402F8C12D05D1D42940F_13</vt:lpwstr>
  </property>
</Properties>
</file>